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26" w:rsidRPr="00010426" w:rsidRDefault="00010426" w:rsidP="00010426">
      <w:pPr>
        <w:spacing w:after="0" w:line="240" w:lineRule="auto"/>
        <w:jc w:val="center"/>
        <w:rPr>
          <w:rFonts w:ascii="MS Sans Serif" w:eastAsia="Times New Roman" w:hAnsi="MS Sans Serif" w:cs="Times New Roman"/>
          <w:b/>
          <w:bCs/>
          <w:sz w:val="48"/>
          <w:szCs w:val="48"/>
          <w:lang w:val="bg-BG"/>
        </w:rPr>
      </w:pPr>
      <w:r w:rsidRPr="00010426">
        <w:rPr>
          <w:rFonts w:ascii="MS Sans Serif" w:eastAsia="Times New Roman" w:hAnsi="MS Sans Serif" w:cs="Times New Roman"/>
          <w:b/>
          <w:bCs/>
          <w:sz w:val="48"/>
          <w:szCs w:val="48"/>
          <w:lang w:val="bg-BG"/>
        </w:rPr>
        <w:t>ОПРЕДЕЛЕНИЕ</w:t>
      </w:r>
    </w:p>
    <w:p w:rsidR="00010426" w:rsidRPr="00010426" w:rsidRDefault="00010426" w:rsidP="00010426">
      <w:pPr>
        <w:spacing w:after="0" w:line="240" w:lineRule="auto"/>
        <w:jc w:val="center"/>
        <w:rPr>
          <w:rFonts w:ascii="MS Sans Serif" w:eastAsia="Times New Roman" w:hAnsi="MS Sans Serif" w:cs="Times New Roman"/>
          <w:b/>
          <w:bCs/>
          <w:sz w:val="36"/>
          <w:szCs w:val="36"/>
          <w:lang w:val="bg-BG"/>
        </w:rPr>
      </w:pPr>
      <w:r w:rsidRPr="00010426">
        <w:rPr>
          <w:rFonts w:ascii="MS Sans Serif" w:eastAsia="Times New Roman" w:hAnsi="MS Sans Serif" w:cs="Times New Roman"/>
          <w:b/>
          <w:bCs/>
          <w:sz w:val="36"/>
          <w:szCs w:val="36"/>
          <w:lang w:val="bg-BG"/>
        </w:rPr>
        <w:t>№ 5776</w:t>
      </w:r>
    </w:p>
    <w:p w:rsidR="00010426" w:rsidRPr="00010426" w:rsidRDefault="00010426" w:rsidP="000104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0426">
        <w:rPr>
          <w:rFonts w:ascii="MS Sans Serif" w:eastAsia="Times New Roman" w:hAnsi="MS Sans Serif" w:cs="Times New Roman"/>
          <w:b/>
          <w:bCs/>
          <w:sz w:val="36"/>
          <w:szCs w:val="36"/>
          <w:lang w:val="bg-BG"/>
        </w:rPr>
        <w:t>София, 03.05.2018</w:t>
      </w:r>
    </w:p>
    <w:p w:rsidR="00010426" w:rsidRPr="00010426" w:rsidRDefault="00010426" w:rsidP="00010426">
      <w:pPr>
        <w:spacing w:after="240" w:line="240" w:lineRule="auto"/>
        <w:rPr>
          <w:rFonts w:ascii="MS Sans Serif" w:eastAsia="Times New Roman" w:hAnsi="MS Sans Serif" w:cs="Times New Roman"/>
          <w:b/>
          <w:bCs/>
          <w:sz w:val="27"/>
          <w:szCs w:val="27"/>
          <w:lang w:val="bg-BG"/>
        </w:rPr>
      </w:pPr>
    </w:p>
    <w:p w:rsidR="00010426" w:rsidRPr="00010426" w:rsidRDefault="00010426" w:rsidP="0001042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0426">
        <w:rPr>
          <w:rFonts w:ascii="MS Sans Serif" w:eastAsia="Times New Roman" w:hAnsi="MS Sans Serif" w:cs="Times New Roman"/>
          <w:b/>
          <w:bCs/>
          <w:sz w:val="27"/>
          <w:szCs w:val="27"/>
          <w:lang w:val="bg-BG"/>
        </w:rPr>
        <w:t xml:space="preserve">Върховният административен съд на Република България - Петчленен състав - II колегия, </w:t>
      </w:r>
      <w:r w:rsidRPr="00010426">
        <w:rPr>
          <w:rFonts w:ascii="MS Sans Serif" w:eastAsia="Times New Roman" w:hAnsi="MS Sans Serif" w:cs="Times New Roman"/>
          <w:sz w:val="27"/>
          <w:szCs w:val="27"/>
          <w:lang w:val="bg-BG"/>
        </w:rPr>
        <w:t>в закрито заседание в състав: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8"/>
        <w:gridCol w:w="3858"/>
      </w:tblGrid>
      <w:tr w:rsidR="00010426" w:rsidRPr="00010426" w:rsidTr="00010426">
        <w:trPr>
          <w:tblCellSpacing w:w="0" w:type="dxa"/>
        </w:trPr>
        <w:tc>
          <w:tcPr>
            <w:tcW w:w="5910" w:type="dxa"/>
            <w:hideMark/>
          </w:tcPr>
          <w:p w:rsidR="00010426" w:rsidRPr="00010426" w:rsidRDefault="00010426" w:rsidP="00010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val="bg-BG"/>
              </w:rPr>
              <w:t>ПРЕДСЕДАТЕЛ:</w:t>
            </w:r>
          </w:p>
        </w:tc>
        <w:tc>
          <w:tcPr>
            <w:tcW w:w="4080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НАДЕЖДА ДЖЕЛЕПОВА</w:t>
            </w:r>
          </w:p>
        </w:tc>
      </w:tr>
      <w:tr w:rsidR="00010426" w:rsidRPr="00010426" w:rsidTr="00010426">
        <w:trPr>
          <w:tblCellSpacing w:w="0" w:type="dxa"/>
        </w:trPr>
        <w:tc>
          <w:tcPr>
            <w:tcW w:w="5910" w:type="dxa"/>
            <w:hideMark/>
          </w:tcPr>
          <w:p w:rsidR="00010426" w:rsidRPr="00010426" w:rsidRDefault="00010426" w:rsidP="00010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val="bg-BG"/>
              </w:rPr>
              <w:t>ЧЛЕНОВЕ:</w:t>
            </w:r>
          </w:p>
        </w:tc>
        <w:tc>
          <w:tcPr>
            <w:tcW w:w="4080" w:type="dxa"/>
            <w:hideMark/>
          </w:tcPr>
          <w:p w:rsidR="00010426" w:rsidRDefault="00010426" w:rsidP="00010426">
            <w:pPr>
              <w:spacing w:after="0" w:line="240" w:lineRule="auto"/>
              <w:rPr>
                <w:rFonts w:ascii="MS Sans Serif" w:eastAsia="Times New Roman" w:hAnsi="MS Sans Serif" w:cs="Times New Roman"/>
                <w:sz w:val="27"/>
                <w:szCs w:val="27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СВЕТЛАНА ЙОНКОВА</w:t>
            </w:r>
          </w:p>
          <w:p w:rsidR="00010426" w:rsidRDefault="00010426" w:rsidP="00010426">
            <w:pPr>
              <w:spacing w:after="0" w:line="240" w:lineRule="auto"/>
              <w:rPr>
                <w:rFonts w:ascii="MS Sans Serif" w:eastAsia="Times New Roman" w:hAnsi="MS Sans Serif" w:cs="Times New Roman"/>
                <w:sz w:val="27"/>
                <w:szCs w:val="27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ИЛИЯНА ДОЙЧЕВА</w:t>
            </w:r>
          </w:p>
          <w:p w:rsidR="00010426" w:rsidRDefault="00010426" w:rsidP="00010426">
            <w:pPr>
              <w:spacing w:after="0" w:line="240" w:lineRule="auto"/>
              <w:rPr>
                <w:rFonts w:ascii="MS Sans Serif" w:eastAsia="Times New Roman" w:hAnsi="MS Sans Serif" w:cs="Times New Roman"/>
                <w:sz w:val="27"/>
                <w:szCs w:val="27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СЕВДАЛИНА ЧЕРВЕНКОВА</w:t>
            </w:r>
          </w:p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АНЕЛИЯ АНАНИЕВА</w:t>
            </w:r>
          </w:p>
        </w:tc>
      </w:tr>
    </w:tbl>
    <w:p w:rsidR="00010426" w:rsidRPr="00010426" w:rsidRDefault="00010426" w:rsidP="000104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3675"/>
        <w:gridCol w:w="2760"/>
      </w:tblGrid>
      <w:tr w:rsidR="00010426" w:rsidRPr="00010426" w:rsidTr="00010426">
        <w:trPr>
          <w:tblCellSpacing w:w="0" w:type="dxa"/>
        </w:trPr>
        <w:tc>
          <w:tcPr>
            <w:tcW w:w="2415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 xml:space="preserve">при секретар </w:t>
            </w:r>
          </w:p>
        </w:tc>
        <w:tc>
          <w:tcPr>
            <w:tcW w:w="3675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760" w:type="dxa"/>
            <w:hideMark/>
          </w:tcPr>
          <w:p w:rsidR="00010426" w:rsidRPr="00010426" w:rsidRDefault="00010426" w:rsidP="00010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и с участието</w:t>
            </w:r>
          </w:p>
        </w:tc>
      </w:tr>
      <w:tr w:rsidR="00010426" w:rsidRPr="00010426" w:rsidTr="00010426">
        <w:trPr>
          <w:tblCellSpacing w:w="0" w:type="dxa"/>
        </w:trPr>
        <w:tc>
          <w:tcPr>
            <w:tcW w:w="2415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 xml:space="preserve">на прокурора </w:t>
            </w:r>
          </w:p>
        </w:tc>
        <w:tc>
          <w:tcPr>
            <w:tcW w:w="3675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760" w:type="dxa"/>
            <w:hideMark/>
          </w:tcPr>
          <w:p w:rsidR="00010426" w:rsidRPr="00010426" w:rsidRDefault="00010426" w:rsidP="00010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изслуша докладваното</w:t>
            </w:r>
          </w:p>
        </w:tc>
      </w:tr>
      <w:tr w:rsidR="00010426" w:rsidRPr="00010426" w:rsidTr="00010426">
        <w:trPr>
          <w:tblCellSpacing w:w="0" w:type="dxa"/>
        </w:trPr>
        <w:tc>
          <w:tcPr>
            <w:tcW w:w="2415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от съдията</w:t>
            </w:r>
          </w:p>
        </w:tc>
        <w:tc>
          <w:tcPr>
            <w:tcW w:w="3675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АНЕЛИЯ АНАНИЕВА</w:t>
            </w:r>
          </w:p>
        </w:tc>
        <w:tc>
          <w:tcPr>
            <w:tcW w:w="2760" w:type="dxa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/>
              </w:rPr>
              <w:drawing>
                <wp:inline distT="0" distB="0" distL="0" distR="0" wp14:anchorId="6DBAE5E2" wp14:editId="36121333">
                  <wp:extent cx="9525" cy="9525"/>
                  <wp:effectExtent l="0" t="0" r="0" b="0"/>
                  <wp:docPr id="1" name="Picture 1" descr="http://www.sac.government.bg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c.government.bg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426" w:rsidRPr="00010426" w:rsidTr="00010426">
        <w:trPr>
          <w:tblCellSpacing w:w="0" w:type="dxa"/>
        </w:trPr>
        <w:tc>
          <w:tcPr>
            <w:tcW w:w="8850" w:type="dxa"/>
            <w:gridSpan w:val="3"/>
            <w:hideMark/>
          </w:tcPr>
          <w:p w:rsidR="00010426" w:rsidRPr="00010426" w:rsidRDefault="00010426" w:rsidP="00010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10426">
              <w:rPr>
                <w:rFonts w:ascii="MS Sans Serif" w:eastAsia="Times New Roman" w:hAnsi="MS Sans Serif" w:cs="Times New Roman"/>
                <w:sz w:val="27"/>
                <w:szCs w:val="27"/>
                <w:lang w:val="bg-BG"/>
              </w:rPr>
              <w:t>по адм. дело № 623/2018</w:t>
            </w:r>
            <w:r w:rsidRPr="00010426">
              <w:rPr>
                <w:rFonts w:ascii="MS Sans Serif" w:eastAsia="Times New Roman" w:hAnsi="MS Sans Serif" w:cs="Times New Roman"/>
                <w:b/>
                <w:bCs/>
                <w:sz w:val="27"/>
                <w:szCs w:val="27"/>
                <w:lang w:val="bg-BG"/>
              </w:rPr>
              <w:t xml:space="preserve">. </w:t>
            </w:r>
          </w:p>
        </w:tc>
      </w:tr>
    </w:tbl>
    <w:p w:rsidR="00010426" w:rsidRP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Производството е по чл.248, ал.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1 от Гражданския процесуале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н кодекс (ГПК) във връзка с чл.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144 от Административнопроцесуалния кодекс (АПК).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Образувано е по молба на Комисията за противодействие на корупцията и отнемане на незаконно придобитото имущество (КПКОНПИ), чрез юрк. П. като процесуален представ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ител, за допълване на решение №2746 от 01.03.2018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г., по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становено по адм. дело 623/2018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 по описа на Върховния административен съд, петчленен състав, в частта му за разноските.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Ответникът – К.Т.Ц., в срока по чл.248, ал.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2 ГПК, представя писмено възражение (наречено жалба), в което оспорва допустимостта и основателността на молбата за допълване. Излага доводи, че молителят не е представил списък с разноските, адвокатско пълномощно и договор за правна защита, от който да е видно размерът на уговореното възнаграждение и начинът на изплащането му.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Върховният административен съд, петчленен състав, намира искането за допълване на съдебния акт в частта за разноските за допустим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о, като подадено в срока по чл.248, ал.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1 ГПК и за основателно по следните съображения: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lastRenderedPageBreak/>
        <w:t>С решение №2746 от 01.03.2018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г., по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становено по адм. дело 623/2018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г. на Върховния административен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съд е отхвърлено искането на К.Т.Ц., на основание чл.239, т. т.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1 - 6 АПК, за отмяна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на влязло в сила определение №12026 от 11.10.2017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г., постан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овено по адм. дело №10073/2017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г. на същия съд, тричленен състав, с което е оставено в сила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определение №3931 от 14.06.2017г. по адм. дело №2504/2017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 на Административен съд София - град.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При този изход на делото на КПКОНПИ като ответник в това производство с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е дължат разноски. Съгласно чл.81 ГПК във връзка с чл.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144 АПК във всеки акт, с който приключва делото в съответната инстанция, съдът се произнася и по разноските. Искането за присъждане на юрисконсултско възнаграждение за производството по отмяна е направено своевременно в съдебно заседание от процесуалния представител на КПКОНПИ и по него липсва произнасяне.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Възраженията на ответника по молбата за допълване са неоснователни.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В производството по реда на чл.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237 и сл. АПК административният орган е представляван от надлежно упълномощен юрисконсулт (лист №60 от делото), а не от адвокат, което изключва доказването на размера на юрисконсултското възнаграждение чрез договор за правна защита и съдействие. Непредс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тавянето на списък съгласно чл.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80 ГПК не лишава страната от правото да й бъдат присъдени направените разноски. Разпоредбата следва да се тълкува в смисъл, че липсата на такъв списък препятства само възможността да се иска изменение на постановения съдебен акт в частта за разноските, ако те са неправилно определени по размер от съответния съд. В хипотезата, когато съдът поради пропуск изобщо не е присъдил такива, каквато е настоящата, липсата на списък не съставлява процесуална пречка за разглеждане на искането за д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опълване на съдебния акт по чл.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248 ГПК и за произнасяне по отговорността за разноските. В този смисъл е и т. 8 от Тълкувателн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 решение №6 от 06.11.2013г. по тълк. дело №6/2012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 на ОСГТК на ВКС.</w:t>
      </w:r>
    </w:p>
    <w:p w:rsidR="00010426" w:rsidRP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  <w:lang w:val="bg-BG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Съгласно чл.78, ал.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8 ГПК в полза на юридически лица или еднолични търговци се присъжда и възнаграждение в размер, определен от съда, ако те са били защитавани от юрисконсулт, а размерът на присъденото възнаграждение не може да надхвърля максималния размер за съответния вид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 дело, определен по реда на чл.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 xml:space="preserve">37 от Закона за правната помощ. Искането за присъждане на разноски на ответника следва да се уважи в размер на 100 лева, като тази сума се възложи в тежест на молителя 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в производството за отмяна – К.Т.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Ц.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lastRenderedPageBreak/>
        <w:t>По изложените съображения Върховният административен съд, петчленен състав,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10426" w:rsidRDefault="00010426" w:rsidP="00010426">
      <w:pPr>
        <w:spacing w:before="240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ОПРЕДЕЛИ: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ДОПЪЛВА решение №2746 от 01.03.2018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г., по</w:t>
      </w: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становено по адм. дело 623/2018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г. по описа на Върховния административен съд, в частта за разноските, както следва:</w:t>
      </w:r>
    </w:p>
    <w:p w:rsidR="00010426" w:rsidRDefault="00010426" w:rsidP="00010426">
      <w:pPr>
        <w:spacing w:before="24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lang w:val="bg-BG"/>
        </w:rPr>
        <w:t>ОСЪЖДА К.Т.</w:t>
      </w:r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Ц. да заплати на Комисията за противодействие на корупцията и отнемане на незаконно придобитото имущество направените разноски в размер на 100 (сто) лева.</w:t>
      </w:r>
    </w:p>
    <w:p w:rsidR="007C26B2" w:rsidRPr="00010426" w:rsidRDefault="00010426" w:rsidP="00010426">
      <w:pPr>
        <w:spacing w:before="240"/>
        <w:jc w:val="both"/>
        <w:rPr>
          <w:lang w:val="bg-BG"/>
        </w:rPr>
      </w:pPr>
      <w:bookmarkStart w:id="0" w:name="_GoBack"/>
      <w:bookmarkEnd w:id="0"/>
      <w:r w:rsidRPr="00010426">
        <w:rPr>
          <w:rFonts w:ascii="Times New Roman" w:eastAsia="Times New Roman" w:hAnsi="Times New Roman" w:cs="Times New Roman"/>
          <w:sz w:val="27"/>
          <w:szCs w:val="27"/>
          <w:lang w:val="bg-BG"/>
        </w:rPr>
        <w:t>Определението не подлежи на обжалване.</w:t>
      </w:r>
    </w:p>
    <w:sectPr w:rsidR="007C26B2" w:rsidRPr="0001042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26"/>
    <w:rsid w:val="00010426"/>
    <w:rsid w:val="007C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2018-07-26T13:02:00Z</dcterms:created>
  <dcterms:modified xsi:type="dcterms:W3CDTF">2018-07-26T13:07:00Z</dcterms:modified>
</cp:coreProperties>
</file>